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sz w:val="24"/>
          <w:szCs w:val="24"/>
        </w:rPr>
      </w:pPr>
    </w:p>
    <w:p>
      <w:pPr>
        <w:jc w:val="center"/>
        <w:rPr>
          <w:rFonts w:ascii="Times New Roman" w:hAnsi="Times New Roman" w:cs="Times New Roman"/>
          <w:sz w:val="24"/>
          <w:szCs w:val="24"/>
        </w:rPr>
      </w:pPr>
    </w:p>
    <w:p>
      <w:pPr>
        <w:rPr>
          <w:rFonts w:ascii="Times New Roman" w:hAnsi="Times New Roman" w:cs="Times New Roman"/>
          <w:sz w:val="24"/>
          <w:szCs w:val="24"/>
        </w:rPr>
      </w:pPr>
    </w:p>
    <w:p>
      <w:pPr>
        <w:jc w:val="center"/>
        <w:rPr>
          <w:rFonts w:ascii="Times New Roman" w:hAnsi="Times New Roman" w:cs="Times New Roman"/>
          <w:sz w:val="24"/>
          <w:szCs w:val="24"/>
        </w:rPr>
      </w:pPr>
    </w:p>
    <w:p>
      <w:pPr>
        <w:jc w:val="center"/>
        <w:rPr>
          <w:rFonts w:ascii="Times New Roman" w:hAnsi="Times New Roman" w:cs="Times New Roman"/>
          <w:sz w:val="24"/>
          <w:szCs w:val="24"/>
        </w:rPr>
      </w:pPr>
      <w:r>
        <w:rPr>
          <w:rFonts w:ascii="Times New Roman" w:hAnsi="Times New Roman" w:cs="Times New Roman"/>
          <w:sz w:val="24"/>
          <w:szCs w:val="24"/>
        </w:rPr>
        <w:t>Development and Risk Management on Tourism in Jharkhand</w:t>
      </w:r>
    </w:p>
    <w:p>
      <w:pPr>
        <w:jc w:val="center"/>
        <w:rPr>
          <w:rFonts w:ascii="Times New Roman" w:hAnsi="Times New Roman" w:cs="Times New Roman"/>
          <w:sz w:val="24"/>
          <w:szCs w:val="24"/>
        </w:rPr>
      </w:pPr>
      <w:r>
        <w:rPr>
          <w:rFonts w:ascii="Times New Roman" w:hAnsi="Times New Roman" w:cs="Times New Roman"/>
          <w:sz w:val="24"/>
          <w:szCs w:val="24"/>
        </w:rPr>
        <w:t>Project Management &amp; Operations</w:t>
      </w:r>
    </w:p>
    <w:p>
      <w:pPr>
        <w:jc w:val="center"/>
        <w:rPr>
          <w:rFonts w:ascii="Times New Roman" w:hAnsi="Times New Roman" w:cs="Times New Roman"/>
          <w:sz w:val="24"/>
          <w:szCs w:val="24"/>
        </w:rPr>
      </w:pPr>
      <w:r>
        <w:rPr>
          <w:rFonts w:hint="default" w:ascii="Times New Roman" w:hAnsi="Times New Roman" w:cs="Times New Roman"/>
          <w:sz w:val="24"/>
          <w:szCs w:val="24"/>
          <w:lang w:val="en-US"/>
        </w:rPr>
        <w:t xml:space="preserve">Dr. </w:t>
      </w:r>
      <w:bookmarkStart w:id="0" w:name="_GoBack"/>
      <w:bookmarkEnd w:id="0"/>
      <w:r>
        <w:rPr>
          <w:rFonts w:ascii="Times New Roman" w:hAnsi="Times New Roman" w:cs="Times New Roman"/>
          <w:sz w:val="24"/>
          <w:szCs w:val="24"/>
        </w:rPr>
        <w:t>Iva Walters</w:t>
      </w:r>
    </w:p>
    <w:p>
      <w:pPr>
        <w:jc w:val="center"/>
        <w:rPr>
          <w:rFonts w:ascii="Times New Roman" w:hAnsi="Times New Roman" w:cs="Times New Roman"/>
          <w:sz w:val="24"/>
          <w:szCs w:val="24"/>
        </w:rPr>
      </w:pPr>
    </w:p>
    <w:p>
      <w:pPr>
        <w:jc w:val="center"/>
        <w:rPr>
          <w:rFonts w:ascii="Times New Roman" w:hAnsi="Times New Roman" w:cs="Times New Roman"/>
          <w:sz w:val="24"/>
          <w:szCs w:val="24"/>
        </w:rPr>
      </w:pPr>
      <w:r>
        <w:rPr>
          <w:rFonts w:ascii="Times New Roman" w:hAnsi="Times New Roman" w:cs="Times New Roman"/>
          <w:sz w:val="24"/>
          <w:szCs w:val="24"/>
        </w:rPr>
        <w:t>Brown, Tajae</w:t>
      </w:r>
    </w:p>
    <w:p>
      <w:pPr>
        <w:jc w:val="center"/>
        <w:rPr>
          <w:rFonts w:ascii="Times New Roman" w:hAnsi="Times New Roman" w:cs="Times New Roman"/>
          <w:sz w:val="24"/>
          <w:szCs w:val="24"/>
        </w:rPr>
      </w:pPr>
      <w:r>
        <w:rPr>
          <w:rFonts w:ascii="Times New Roman" w:hAnsi="Times New Roman" w:cs="Times New Roman"/>
          <w:sz w:val="24"/>
          <w:szCs w:val="24"/>
        </w:rPr>
        <w:t>Franklin, Titiana</w:t>
      </w:r>
    </w:p>
    <w:p>
      <w:pPr>
        <w:jc w:val="center"/>
        <w:rPr>
          <w:rFonts w:ascii="Times New Roman" w:hAnsi="Times New Roman" w:cs="Times New Roman"/>
          <w:sz w:val="24"/>
          <w:szCs w:val="24"/>
        </w:rPr>
      </w:pPr>
      <w:r>
        <w:rPr>
          <w:rFonts w:ascii="Times New Roman" w:hAnsi="Times New Roman" w:cs="Times New Roman"/>
          <w:sz w:val="24"/>
          <w:szCs w:val="24"/>
        </w:rPr>
        <w:t>Holloway, Chad</w:t>
      </w:r>
    </w:p>
    <w:p>
      <w:pPr>
        <w:jc w:val="center"/>
        <w:rPr>
          <w:rFonts w:ascii="Times New Roman" w:hAnsi="Times New Roman" w:cs="Times New Roman"/>
          <w:sz w:val="24"/>
          <w:szCs w:val="24"/>
        </w:rPr>
      </w:pPr>
      <w:r>
        <w:rPr>
          <w:rFonts w:ascii="Times New Roman" w:hAnsi="Times New Roman" w:cs="Times New Roman"/>
          <w:sz w:val="24"/>
          <w:szCs w:val="24"/>
        </w:rPr>
        <w:t>Kilpatrick, Taria</w:t>
      </w:r>
    </w:p>
    <w:p>
      <w:pPr>
        <w:jc w:val="center"/>
        <w:rPr>
          <w:rFonts w:ascii="Times New Roman" w:hAnsi="Times New Roman" w:cs="Times New Roman"/>
          <w:sz w:val="24"/>
          <w:szCs w:val="24"/>
        </w:rPr>
      </w:pPr>
      <w:r>
        <w:rPr>
          <w:rFonts w:ascii="Times New Roman" w:hAnsi="Times New Roman" w:cs="Times New Roman"/>
          <w:sz w:val="24"/>
          <w:szCs w:val="24"/>
        </w:rPr>
        <w:t>Letmon, Whitney</w:t>
      </w:r>
    </w:p>
    <w:p>
      <w:pPr>
        <w:jc w:val="center"/>
        <w:rPr>
          <w:rFonts w:ascii="Times New Roman" w:hAnsi="Times New Roman" w:cs="Times New Roman"/>
          <w:sz w:val="24"/>
          <w:szCs w:val="24"/>
        </w:rPr>
      </w:pPr>
      <w:r>
        <w:rPr>
          <w:rFonts w:ascii="Times New Roman" w:hAnsi="Times New Roman" w:cs="Times New Roman"/>
          <w:sz w:val="24"/>
          <w:szCs w:val="24"/>
        </w:rPr>
        <w:t>McAlister, Tyler</w:t>
      </w:r>
    </w:p>
    <w:p>
      <w:pPr>
        <w:jc w:val="center"/>
        <w:rPr>
          <w:rFonts w:ascii="Times New Roman" w:hAnsi="Times New Roman" w:cs="Times New Roman"/>
          <w:sz w:val="24"/>
          <w:szCs w:val="24"/>
        </w:rPr>
      </w:pPr>
    </w:p>
    <w:p>
      <w:pPr>
        <w:jc w:val="center"/>
        <w:rPr>
          <w:rFonts w:ascii="Times New Roman" w:hAnsi="Times New Roman" w:cs="Times New Roman"/>
          <w:sz w:val="24"/>
          <w:szCs w:val="24"/>
        </w:rPr>
      </w:pPr>
      <w:r>
        <w:rPr>
          <w:rFonts w:ascii="Times New Roman" w:hAnsi="Times New Roman" w:cs="Times New Roman"/>
          <w:sz w:val="24"/>
          <w:szCs w:val="24"/>
        </w:rPr>
        <w:t>Benedict College</w:t>
      </w:r>
    </w:p>
    <w:p>
      <w:pPr>
        <w:jc w:val="center"/>
        <w:rPr>
          <w:rFonts w:ascii="Times New Roman" w:hAnsi="Times New Roman" w:cs="Times New Roman"/>
          <w:sz w:val="24"/>
          <w:szCs w:val="24"/>
        </w:rPr>
      </w:pPr>
      <w:r>
        <w:rPr>
          <w:rFonts w:ascii="Times New Roman" w:hAnsi="Times New Roman" w:cs="Times New Roman"/>
          <w:sz w:val="24"/>
          <w:szCs w:val="24"/>
        </w:rPr>
        <w:t>12/19/2019</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r>
        <w:rPr>
          <w:rFonts w:ascii="Times New Roman" w:hAnsi="Times New Roman" w:cs="Times New Roman"/>
          <w:sz w:val="24"/>
          <w:szCs w:val="24"/>
        </w:rPr>
        <w:t> </w:t>
      </w:r>
    </w:p>
    <w:p>
      <w:pPr>
        <w:rPr>
          <w:rFonts w:ascii="Times New Roman" w:hAnsi="Times New Roman" w:cs="Times New Roman"/>
          <w:sz w:val="24"/>
          <w:szCs w:val="24"/>
        </w:rPr>
      </w:pPr>
      <w:r>
        <w:rPr>
          <w:rFonts w:ascii="Times New Roman" w:hAnsi="Times New Roman" w:cs="Times New Roman"/>
          <w:sz w:val="24"/>
          <w:szCs w:val="24"/>
        </w:rPr>
        <w:t> </w:t>
      </w:r>
    </w:p>
    <w:p>
      <w:pPr>
        <w:spacing w:line="480" w:lineRule="auto"/>
        <w:jc w:val="center"/>
        <w:rPr>
          <w:rFonts w:ascii="Times New Roman" w:hAnsi="Times New Roman" w:cs="Times New Roman"/>
          <w:sz w:val="24"/>
          <w:szCs w:val="24"/>
        </w:rPr>
      </w:pPr>
      <w:r>
        <w:rPr>
          <w:rFonts w:ascii="Times New Roman" w:hAnsi="Times New Roman" w:cs="Times New Roman"/>
          <w:b/>
          <w:bCs/>
          <w:sz w:val="24"/>
          <w:szCs w:val="24"/>
        </w:rPr>
        <w:t>Identifications of Symptoms</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During the Amadubi Rural Tourism Project, application of Project Risk Management across the proposal's life cycle, the Amadubi Rural Tourism program had several uncertainties and setbacks. A brief review of the plan carried out before risks could be defined and proposed threat solutions listed. The rural village in Jharkhand located in India and attended by the project team. The site's plan was to bring the tourist industry to the site and enhance rural wellbeing and use of rural India's culture, crafts, and heritage.</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There were contractors and many others involved in the project. Identifying and evaluating risk projects would have helped support the performance of the project by generating risk strategies for coping with each threat. There are four risks found within the Amadubi Rural Tourism Project as well as the suggested solutions to the warnings will be listed. There are factors that Amabudi Rural Tourism did not take into account when planning this project. The success of a project depends on the results it is supposed to achieve. (Kliem, R. L., &amp;amp; Ludin, I. S,2019). In this case, Amabudi Rural Tourism underestimates the amount of preparation needed to have a successful project.  </w:t>
      </w:r>
      <w:r>
        <w:rPr>
          <w:rFonts w:ascii="Times New Roman" w:hAnsi="Times New Roman" w:cs="Times New Roman"/>
          <w:sz w:val="24"/>
          <w:szCs w:val="24"/>
        </w:rPr>
        <w:tab/>
      </w:r>
      <w:r>
        <w:rPr>
          <w:rFonts w:ascii="Times New Roman" w:hAnsi="Times New Roman" w:cs="Times New Roman"/>
          <w:sz w:val="24"/>
          <w:szCs w:val="24"/>
        </w:rPr>
        <w:t>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There were four factors: Communication, Planning, Backing, Finances were all considerable risks in this project. According to this initiative, issues of forestation and the availability of clean water and electricity were frequently discussed in much other correspondence with the administration. Amadubi would have been established to its full potential. There were specific doubts most the time, and hardly any local authority or government claimed that perhaps the land could not be available. After an unforeseen complication, the site asked for funding.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project team asked for further assistance for the project from the Ministry of Tourism, Government of Jharkhand (GOJ), nothing was done to improve the rural tourism site in Amadubi. The project was pushed back always for a release date because the government proposes a regulation that had not been met.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These factors alone caused problems later on. The fact that there was poor communication between the locals, government, and residence caused strife in the project. Let alone the oblivious planning for outside force contributed heavy to the failure of this project. That added with the government not supporting and the ministry not backing was a just cause for catastrophe. </w:t>
      </w:r>
    </w:p>
    <w:p>
      <w:pPr>
        <w:spacing w:line="480" w:lineRule="auto"/>
        <w:jc w:val="center"/>
        <w:rPr>
          <w:rFonts w:ascii="Times New Roman" w:hAnsi="Times New Roman" w:cs="Times New Roman"/>
          <w:sz w:val="24"/>
          <w:szCs w:val="24"/>
        </w:rPr>
      </w:pPr>
      <w:r>
        <w:rPr>
          <w:rFonts w:ascii="Times New Roman" w:hAnsi="Times New Roman" w:cs="Times New Roman"/>
          <w:b/>
          <w:bCs/>
          <w:sz w:val="24"/>
          <w:szCs w:val="24"/>
        </w:rPr>
        <w:t>Problem Statements</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Budeanu, Miller, Moscardo, and Ooi (2016) This special volume was established with exactly that goal in mind, and this introduction seeks to set the context for this critical examination and reflection on sustainable tourism. Another objective of this introduction was to describe the range of contributions selected for this SV briefly. The articles are organized into four </w:t>
      </w:r>
      <w:r>
        <w:rPr>
          <w:rFonts w:ascii="Times New Roman" w:hAnsi="Times New Roman" w:cs="Times New Roman"/>
          <w:i/>
          <w:iCs/>
          <w:sz w:val="24"/>
          <w:szCs w:val="24"/>
        </w:rPr>
        <w:t>thematic areas</w:t>
      </w:r>
      <w:r>
        <w:rPr>
          <w:rFonts w:ascii="Times New Roman" w:hAnsi="Times New Roman" w:cs="Times New Roman"/>
          <w:sz w:val="24"/>
          <w:szCs w:val="24"/>
        </w:rPr>
        <w:t> of research: community stakeholders' perspectives and business approaches to sustainability in tourism, cultural responses, and methodological challenges related to sustainability.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This article provides research that should have been done for the project in Jharkhand. It will allow the Project Manager to understand the lack of capital, having no institutional support or policy, and the villagers not understanding financial management. We want tourism to be a central focal point for the country; having capital is what will make the project a success and allow the project manager to operate the project as such. There needs to be an understanding that the lack of working capital will result in the project causing many major and minor setbacks. If the problem is ignored, it will become an even more significant issue for the country. The PMI project management profile needs to ensure that every dollar is mentioned; labor, supplies, assets, products, and more. This project should not cause the country to lose any revenue and become a white elephant.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Having the majority of the villagers support the project should always be necessary. If the back is there, then everyone knows the organizational culture can perform and adapt to the project and understand what is going on. As the project unfolds, it is noticeable that there is no support and policy in place from the institution. It is very important that the institution plays its role within the project. If no support or strategy is being provided by the institution, then how successful will the project be without being accepted by all parties involved?</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It takes one person to raise an issue of what is going in the city. If the problem is one that all the residents can agree upon, then the city may indeed have a significant issue on its hand. Always think about the people it will affect before starting. </w:t>
      </w:r>
    </w:p>
    <w:p>
      <w:pPr>
        <w:spacing w:line="480" w:lineRule="auto"/>
        <w:jc w:val="center"/>
        <w:rPr>
          <w:rFonts w:ascii="Times New Roman" w:hAnsi="Times New Roman" w:cs="Times New Roman"/>
          <w:sz w:val="24"/>
          <w:szCs w:val="24"/>
        </w:rPr>
      </w:pPr>
      <w:r>
        <w:rPr>
          <w:rFonts w:ascii="Times New Roman" w:hAnsi="Times New Roman" w:cs="Times New Roman"/>
          <w:b/>
          <w:bCs/>
          <w:sz w:val="24"/>
          <w:szCs w:val="24"/>
        </w:rPr>
        <w:t>Problem Analysis</w:t>
      </w:r>
    </w:p>
    <w:p>
      <w:pPr>
        <w:spacing w:after="0" w:line="480" w:lineRule="auto"/>
        <w:ind w:firstLine="720"/>
        <w:rPr>
          <w:rFonts w:ascii="Times New Roman" w:hAnsi="Times New Roman" w:eastAsia="Calibri" w:cs="Times New Roman"/>
          <w:sz w:val="24"/>
          <w:szCs w:val="24"/>
        </w:rPr>
      </w:pPr>
      <w:r>
        <w:rPr>
          <w:rFonts w:ascii="Times New Roman" w:hAnsi="Times New Roman" w:eastAsia="Calibri" w:cs="Times New Roman"/>
          <w:sz w:val="24"/>
          <w:szCs w:val="24"/>
        </w:rPr>
        <w:t>There are many problems discussed in this case study, all revolving around the lack of working capital, lack of institutional support or no institution or policy in place, and villagers not knowing anything about financial management. The effects of these problems were significant.</w:t>
      </w:r>
    </w:p>
    <w:p>
      <w:pPr>
        <w:spacing w:after="0" w:line="480" w:lineRule="auto"/>
        <w:ind w:firstLine="720"/>
        <w:rPr>
          <w:rFonts w:ascii="Times New Roman" w:hAnsi="Times New Roman" w:eastAsia="Calibri" w:cs="Times New Roman"/>
          <w:sz w:val="24"/>
          <w:szCs w:val="24"/>
        </w:rPr>
      </w:pPr>
      <w:r>
        <w:rPr>
          <w:rFonts w:ascii="Times New Roman" w:hAnsi="Times New Roman" w:eastAsia="Calibri" w:cs="Times New Roman"/>
          <w:sz w:val="24"/>
          <w:szCs w:val="24"/>
        </w:rPr>
        <w:t xml:space="preserve">The lack of working capital had a huge effect on the electric supply. According to the case study,  power generators were being made available to provide power for lights and fans; however, it was difficult to provide air conditioning, coolers, cold water, and places to store perishable items. The cost of generating power was very high, and there was not enough capital to correct all of these issues. Not only were there issues with electricity that the working capital could not cover, but also the roads connecting Jamshedpur to Dhalbhum were not in good shape and needed repair. This was not good for the development of the tourism site. </w:t>
      </w:r>
    </w:p>
    <w:p>
      <w:pPr>
        <w:spacing w:after="0" w:line="480" w:lineRule="auto"/>
        <w:ind w:firstLine="720"/>
        <w:rPr>
          <w:rFonts w:ascii="Times New Roman" w:hAnsi="Times New Roman" w:eastAsia="Calibri" w:cs="Times New Roman"/>
          <w:sz w:val="24"/>
          <w:szCs w:val="24"/>
        </w:rPr>
      </w:pPr>
      <w:r>
        <w:rPr>
          <w:rFonts w:ascii="Times New Roman" w:hAnsi="Times New Roman" w:eastAsia="Calibri" w:cs="Times New Roman"/>
          <w:sz w:val="24"/>
          <w:szCs w:val="24"/>
        </w:rPr>
        <w:t xml:space="preserve">The lack of institutional support did not help the situation. This was a negative effect because, without institutional support, the project did not have the proper financing and marketing to promote tourism. Without these things, there is no way that the goal of creating new income opportunities for villagers was going to occur. According to Pinto, J. Â. C. (2009), the financing area of a project is considered to be within the stakeholder area of influence, without studying correctly the cost of the project, and it's impossible to know exactly the amount of money that the project needs and the cost baseline that influences the finance needs of the project. Also, Lecoeuvre, L. &amp; Turner, J. R. (2014), stated that the marketing of a project is part of stakeholder engagement… marketing for a project by the contractor for this and future projects is part of portfolio management; the contractor manages the portfolio of client contracts, and part of that is winning new work. With the right institutional support from the government or government-supported institutions that can act as stakeholders ( an individual, group, or organization who is impacted by the outcome of a project. They have an interest in the success of the project, and can be within or outside the organization that is sponsoring the project) this tourism project would have the proper financial and marketing backing that could support the village, which ultimately supports the government there and stakeholders. The success of this project could lead to bigger and better projects in that community and or government.  </w:t>
      </w:r>
    </w:p>
    <w:p>
      <w:pPr>
        <w:spacing w:after="0" w:line="480" w:lineRule="auto"/>
        <w:ind w:firstLine="720"/>
        <w:rPr>
          <w:rFonts w:ascii="Times New Roman" w:hAnsi="Times New Roman" w:eastAsia="Calibri" w:cs="Times New Roman"/>
          <w:sz w:val="24"/>
          <w:szCs w:val="24"/>
        </w:rPr>
      </w:pPr>
      <w:r>
        <w:rPr>
          <w:rFonts w:ascii="Times New Roman" w:hAnsi="Times New Roman" w:eastAsia="Calibri" w:cs="Times New Roman"/>
          <w:sz w:val="24"/>
          <w:szCs w:val="24"/>
        </w:rPr>
        <w:t>The effects of villagers not knowing anything about proper financial management disrupted the tourism project. Villagers wanted the opportunity to earn such a lot of things they wanted to do on their own. According to the case study, there were very few hotels/ motels, repair shops, toilets, and good restaurants… it was important to increase footfalls and to promote and market the project in a systematic manner. However, from the time of inauguration, the total footfalls were much less than expected. If the villagers had the proper training and background knowledge of financial management, the issue would not have occurred to where everything was not appropriately planned and financed out.</w:t>
      </w:r>
    </w:p>
    <w:p>
      <w:pPr>
        <w:spacing w:after="0" w:line="480" w:lineRule="auto"/>
        <w:ind w:firstLine="720"/>
        <w:rPr>
          <w:rFonts w:ascii="Times New Roman" w:hAnsi="Times New Roman" w:eastAsia="Calibri" w:cs="Times New Roman"/>
          <w:sz w:val="24"/>
          <w:szCs w:val="24"/>
        </w:rPr>
      </w:pPr>
      <w:r>
        <w:rPr>
          <w:rFonts w:ascii="Times New Roman" w:hAnsi="Times New Roman" w:eastAsia="Calibri" w:cs="Times New Roman"/>
          <w:sz w:val="24"/>
          <w:szCs w:val="24"/>
        </w:rPr>
        <w:t xml:space="preserve">These problems arose after the massive hailstorm that caused severe damage to the property. When the rescue team came from Kalamandir to the site, they were torn between trying to help the villagers or save the project, when further help was asked for the project nothing was done for the development of rural tourism from the government. </w:t>
      </w:r>
    </w:p>
    <w:p>
      <w:pPr>
        <w:spacing w:line="480" w:lineRule="auto"/>
        <w:jc w:val="center"/>
        <w:rPr>
          <w:rFonts w:ascii="Times New Roman" w:hAnsi="Times New Roman" w:cs="Times New Roman"/>
          <w:sz w:val="24"/>
          <w:szCs w:val="24"/>
        </w:rPr>
      </w:pPr>
      <w:r>
        <w:rPr>
          <w:rFonts w:ascii="Times New Roman" w:hAnsi="Times New Roman" w:cs="Times New Roman"/>
          <w:b/>
          <w:bCs/>
          <w:sz w:val="24"/>
          <w:szCs w:val="24"/>
        </w:rPr>
        <w:t>Identification and Evaluation of Alternatives</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Tirado Ballesteros, J. G., &amp; Hernández Hernández, M. (2017) states many areas, rural development programs represent the main driver of tourism. Evaluation is essential to assess the effectiveness and efficiency of the resources allocated.  Given the detail that education is one of the key problems, Amadubi faces in the current state, a suggestion of a training or educational program can be put into place by the government as long as the villagers exhibit a real interest in learning more. As we identify the true alternatives that present themselves, you find that Amadubi is actually not far off of the path to success.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key goal is to provide alternatives without sacrificing the authenticity of the culture. Stakeholders will have more of an invested interest if they learn the value of what is around them. An alternative to purchasing all of the infrastructures that would bridge the gap between rural and urbanization would be to promote leadership in the project through entrepreneurial endeavors.  Once the citizens of the village understand that the cash flow and success of the nation rest on their back, they will be more involved in fix-it problems that are handicapping the society.  Further capital being generated will then aide more of a sustainable source of electricity that can be supported nationwide. The alternative to purchasing major generators through governmental funds would be to promote this funding through the dividends earned by the citizens.  While this is a more long-term feat, it gives the stakeholders a chance to keep the resolution of the issues to their problems separate from that of the government.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Upon evaluation, you also could twist the narrative of this fundraiser to yield a sense of pride from the villagers.  While this endeavor could cause early maintenance issues down the road, what the project would actually do is provide education to citizens and also offer jobs to electricians in the environment generating more overall wealth to support the then-thriving tourism economy.</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final evaluation of alternatives comes with the roads.  While the roads are damaged, philosophers may point out that this keeps the culture alive in the already rural area.  Our team was contemplating the decision to fix and pave the roads or to allow the roads to maintain the condition and keep the organic feel that makes the nation.  Upon final evaluation, the goal here should be to fix the inbound and outbound roads of the society, so tourist is not afraid to spend time in the nation.  With this alternative to just fixing and paving all of the roads in the nation, you accomplish two line items: spending the least amount of money possible to resolve the issue and maintaining the organic culture that the society brings.</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While our alternatives may be risky and come with a timetable in some cases, the overall analysis dictates that this is what the nation will need to build long term success.  An easy project would entail spending a lot of money on short term establishment. Through the evaluation, we deemed it absolutely necessary to keep all funds and resources allotted to the people.</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case study dictates the citizens to have an extreme sense of culture and pride just without the backing of an educational foundation.  Several of these line items are dispelled in the recommended course of action analysis our team has formulated to bridge the gap between our problem and the surface level of things the nation can choose to do to flip the narrative of tourism attractiveness.</w:t>
      </w:r>
    </w:p>
    <w:p>
      <w:pPr>
        <w:spacing w:line="480" w:lineRule="auto"/>
        <w:jc w:val="center"/>
        <w:rPr>
          <w:rFonts w:ascii="Times New Roman" w:hAnsi="Times New Roman" w:cs="Times New Roman"/>
          <w:sz w:val="24"/>
          <w:szCs w:val="24"/>
        </w:rPr>
      </w:pPr>
      <w:r>
        <w:rPr>
          <w:rFonts w:ascii="Times New Roman" w:hAnsi="Times New Roman" w:cs="Times New Roman"/>
          <w:b/>
          <w:bCs/>
          <w:sz w:val="24"/>
          <w:szCs w:val="24"/>
        </w:rPr>
        <w:t>Recommended Course of Action</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Reschovsky (2001) suggests that the consensus of economic success in our increasingly globalized economy requires substantial improvements in the overall quality of education.  The two main problems discussed in the problem analysis detail the lack of capital and economic/financial literacy.  The problems facing this case study are essentially cut in half with the proper stakeholders holding the power of education.  The debate to face Amadubi is the governmental support to fund the educational need in the rural community.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Providing assistance to resolve the ongoing issue of basically selling the society for free without understanding how to be profitable from tourism can be solved by requiring a countrywide literacy test prior to being allowed the opportunity to provide services in the nation.  To reduce the financial burden of hiring professionals within the country or outside of the country, the leaders of the initiative should place this burden back on the businessmen and businesswomen of the society.</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A seller cannot meet the requirements set by the board to pass a financial literacy test. They should not be permitted to sell goods or services in the already struggling economy.  In turn, this first solution will not only be beneficial for the major stakeholders but will also benefit the overall culture of learning for Jharkhand.</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Tourists, especially coming to town from much more advanced societies, will understand that they have the intellectual power to overrule the ignorance of the villagers of the nation. By withholding this power and not sharing the wealth of knowledge with the common population, the nation will continue to be robbed of its pure essence and will ultimately be caught in the hamster wheel of failure.</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Ivanova (2015) describes the power of peer pressure by using an example detailing the shift of major conglomerates' and entrepreneurs' ideas of climate change. Until certain mandates were rolled out that forced a group of peers to react to climate change issues were on the bottom of focus points in the business world. This point is included to show that mandates yield results.  If everyone is permitted to be ignorant, they will continue to be ignored unless otherwise mandated to learn.</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 solution for some of the problems faced with rural tourism in Amadubi can be remedied by using a similar or even carbon-copied version of the VAR model.  The VAR model is a model used in the four largest euro area countries in the world, in which key variables affecting household income and wealth are included, such as the unemployment rate, wages, interest rates, house prices, and stock prices.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Monetary policy is the basis of gaining and maintaining wealth. (Slaclek, 2018). The use of this model or a model with a similar impact will require no major payment of the hiring of a committee or even a drawn-out process. The key end goal of using a model that is already is created is to mitigate any chance or idea of having to reinvent the wheel of success. By utilizing instances of best practices, the nation is able to enjoy the fruits of a model already proven to work.</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During the research, our team was able to compile a study completed by Xiaoling Zhang entitled, Sustainable infrastructure projects in balancing urban-rural development: towards the goal of efficiency and equity. This study goes in-depth when detailing the many resolves to fix the issues driving a downfall in the economic empowerment of rural nations.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Urban-rural development has been regarded as one of the key pillars in driving regenerative development that includes economic social and environmental balance. (Zhang, 2015)  A model that was introduced in Chongqing fits the bill of one of the issues identified as challenging economic winning behavior in rural tourism in Amadubi.  E-UR focuses on how to efficiently impact the infrastructure projects completed on urban-rural areas with deficiencies.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model used in China demonstrates a resolve through multi-criteria data that benchmark the current state of a project and evaluate the contribution needed to steer the current infrastructure to modernization.  This will improve the rural-urban balance and allow the government to decision-makers the opportunity to prioritize future projects rigorously in terms of their contribution to effectiveness.  This solution will provide a winning scenario to stakeholders while also allowing the culture of the tourist destination to maintain its essence and heritage.</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Once the e-UR provides the analysis for action, the next step to solve some of the rural tourism problems detailed in our analysis includes the electricity situation.  Efficiency and cost-effectiveness are the two most commonly cited justifications for rural electrification.  Small-scale argo-industries can improve productivity through the use of efficient driveshaft power for grain mills and other machines. </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(Barnes, 2019) Says, In essence, the nation powers itself. In agriculture, electric pump sets can expand both irrigation and food production by enabling farmers to increase yields and grow two more crops per year than normal. If this option is chosen as a viable solution, the stakeholder is able to spend little to no money while also increasing net gain year over year.</w:t>
      </w:r>
    </w:p>
    <w:p>
      <w:pPr>
        <w:spacing w:line="480" w:lineRule="auto"/>
        <w:jc w:val="center"/>
        <w:rPr>
          <w:rFonts w:ascii="Times New Roman" w:hAnsi="Times New Roman" w:cs="Times New Roman"/>
          <w:sz w:val="24"/>
          <w:szCs w:val="24"/>
        </w:rPr>
      </w:pPr>
      <w:r>
        <w:rPr>
          <w:rFonts w:ascii="Times New Roman" w:hAnsi="Times New Roman" w:cs="Times New Roman"/>
          <w:b/>
          <w:bCs/>
          <w:sz w:val="24"/>
          <w:szCs w:val="24"/>
        </w:rPr>
        <w:t>Agile Project Management Implementation Plan</w:t>
      </w:r>
    </w:p>
    <w:p>
      <w:pPr>
        <w:spacing w:line="480" w:lineRule="auto"/>
        <w:ind w:firstLine="720"/>
        <w:rPr>
          <w:rFonts w:ascii="Times New Roman" w:hAnsi="Times New Roman" w:cs="Times New Roman"/>
          <w:sz w:val="24"/>
          <w:szCs w:val="24"/>
        </w:rPr>
      </w:pPr>
      <w:r>
        <w:rPr>
          <w:rFonts w:ascii="Times New Roman" w:hAnsi="Times New Roman" w:cs="Times New Roman"/>
          <w:sz w:val="24"/>
          <w:szCs w:val="24"/>
        </w:rPr>
        <w:t>According to the analysis of this case, it has been determined that it's relevant this industry needs to make money and have accountability as it relates to cost and profit. An implementation plan is recommended and will be utilized to address the following findings; lack of capital, lack of support, and policies for the institution, and the villagers are not knowledgeable of financial management. As indicated by the investigation of this case, it has been resolved that a usage plan is expected to address the accompanying discoveries, absence of capital, absence of help and strategies for the establishment, and the residents are not proficient in money related administration.</w:t>
      </w:r>
    </w:p>
    <w:p>
      <w:pPr>
        <w:spacing w:line="480" w:lineRule="auto"/>
        <w:ind w:firstLine="360"/>
        <w:rPr>
          <w:rFonts w:ascii="Times New Roman" w:hAnsi="Times New Roman" w:cs="Times New Roman"/>
          <w:sz w:val="24"/>
          <w:szCs w:val="24"/>
        </w:rPr>
      </w:pPr>
      <w:r>
        <w:rPr>
          <w:rFonts w:ascii="Times New Roman" w:hAnsi="Times New Roman" w:cs="Times New Roman"/>
          <w:sz w:val="24"/>
          <w:szCs w:val="24"/>
        </w:rPr>
        <w:t>Taylor, C. (2018) says, “Communication inefficiencies are among the reasons for poor or substandard performances in project teams.” Therefore, it is being advised upon analyzing this study that a communication strategy is developed to provide effective communication. When developing a communication strategy, a few questions to ask are as follows; </w:t>
      </w:r>
    </w:p>
    <w:p>
      <w:pPr>
        <w:numPr>
          <w:ilvl w:val="0"/>
          <w:numId w:val="1"/>
        </w:numPr>
        <w:spacing w:line="480" w:lineRule="auto"/>
        <w:rPr>
          <w:rFonts w:ascii="Times New Roman" w:hAnsi="Times New Roman" w:cs="Times New Roman"/>
          <w:sz w:val="24"/>
          <w:szCs w:val="24"/>
        </w:rPr>
      </w:pPr>
      <w:r>
        <w:rPr>
          <w:rFonts w:ascii="Times New Roman" w:hAnsi="Times New Roman" w:cs="Times New Roman"/>
          <w:b/>
          <w:bCs/>
          <w:sz w:val="24"/>
          <w:szCs w:val="24"/>
        </w:rPr>
        <w:t>Who needs to be informed?</w:t>
      </w:r>
      <w:r>
        <w:rPr>
          <w:rFonts w:ascii="Times New Roman" w:hAnsi="Times New Roman" w:cs="Times New Roman"/>
          <w:sz w:val="24"/>
          <w:szCs w:val="24"/>
        </w:rPr>
        <w:t> Project team members, executives, stakeholders, or clients?</w:t>
      </w:r>
    </w:p>
    <w:p>
      <w:pPr>
        <w:numPr>
          <w:ilvl w:val="0"/>
          <w:numId w:val="1"/>
        </w:numPr>
        <w:spacing w:line="480" w:lineRule="auto"/>
        <w:rPr>
          <w:rFonts w:ascii="Times New Roman" w:hAnsi="Times New Roman" w:cs="Times New Roman"/>
          <w:sz w:val="24"/>
          <w:szCs w:val="24"/>
        </w:rPr>
      </w:pPr>
      <w:r>
        <w:rPr>
          <w:rFonts w:ascii="Times New Roman" w:hAnsi="Times New Roman" w:cs="Times New Roman"/>
          <w:b/>
          <w:bCs/>
          <w:sz w:val="24"/>
          <w:szCs w:val="24"/>
        </w:rPr>
        <w:t>What kind of communication will be required?</w:t>
      </w:r>
      <w:r>
        <w:rPr>
          <w:rFonts w:ascii="Times New Roman" w:hAnsi="Times New Roman" w:cs="Times New Roman"/>
          <w:sz w:val="24"/>
          <w:szCs w:val="24"/>
        </w:rPr>
        <w:t xml:space="preserve"> Team and management meetings, project updates, and community meetings?  </w:t>
      </w:r>
    </w:p>
    <w:p>
      <w:pPr>
        <w:numPr>
          <w:ilvl w:val="0"/>
          <w:numId w:val="1"/>
        </w:numPr>
        <w:spacing w:line="480" w:lineRule="auto"/>
        <w:rPr>
          <w:rFonts w:ascii="Times New Roman" w:hAnsi="Times New Roman" w:cs="Times New Roman"/>
          <w:sz w:val="24"/>
          <w:szCs w:val="24"/>
        </w:rPr>
      </w:pPr>
      <w:r>
        <w:rPr>
          <w:rFonts w:ascii="Times New Roman" w:hAnsi="Times New Roman" w:cs="Times New Roman"/>
          <w:b/>
          <w:bCs/>
          <w:sz w:val="24"/>
          <w:szCs w:val="24"/>
        </w:rPr>
        <w:t>How frequently will communication be needed?</w:t>
      </w:r>
      <w:r>
        <w:rPr>
          <w:rFonts w:ascii="Times New Roman" w:hAnsi="Times New Roman" w:cs="Times New Roman"/>
          <w:sz w:val="24"/>
          <w:szCs w:val="24"/>
        </w:rPr>
        <w:t> Weekly? Bi-weekly? Monthly? </w:t>
      </w:r>
    </w:p>
    <w:p>
      <w:pPr>
        <w:numPr>
          <w:ilvl w:val="0"/>
          <w:numId w:val="2"/>
        </w:numPr>
        <w:spacing w:line="480" w:lineRule="auto"/>
        <w:rPr>
          <w:rFonts w:ascii="Times New Roman" w:hAnsi="Times New Roman" w:cs="Times New Roman"/>
          <w:sz w:val="24"/>
          <w:szCs w:val="24"/>
        </w:rPr>
      </w:pPr>
      <w:r>
        <w:rPr>
          <w:rFonts w:ascii="Times New Roman" w:hAnsi="Times New Roman" w:cs="Times New Roman"/>
          <w:b/>
          <w:bCs/>
          <w:sz w:val="24"/>
          <w:szCs w:val="24"/>
        </w:rPr>
        <w:t>What details must be communicated?</w:t>
      </w:r>
      <w:r>
        <w:rPr>
          <w:rFonts w:ascii="Times New Roman" w:hAnsi="Times New Roman" w:cs="Times New Roman"/>
          <w:sz w:val="24"/>
          <w:szCs w:val="24"/>
        </w:rPr>
        <w:t> Meeting notes, progress, problems, successes? </w:t>
      </w:r>
    </w:p>
    <w:p>
      <w:pPr>
        <w:numPr>
          <w:ilvl w:val="0"/>
          <w:numId w:val="2"/>
        </w:numPr>
        <w:spacing w:line="480" w:lineRule="auto"/>
        <w:rPr>
          <w:rFonts w:ascii="Times New Roman" w:hAnsi="Times New Roman" w:cs="Times New Roman"/>
          <w:sz w:val="24"/>
          <w:szCs w:val="24"/>
        </w:rPr>
      </w:pPr>
      <w:r>
        <w:rPr>
          <w:rFonts w:ascii="Times New Roman" w:hAnsi="Times New Roman" w:cs="Times New Roman"/>
          <w:b/>
          <w:bCs/>
          <w:sz w:val="24"/>
          <w:szCs w:val="24"/>
        </w:rPr>
        <w:t>Who needs to know what?</w:t>
      </w:r>
      <w:r>
        <w:rPr>
          <w:rFonts w:ascii="Times New Roman" w:hAnsi="Times New Roman" w:cs="Times New Roman"/>
          <w:sz w:val="24"/>
          <w:szCs w:val="24"/>
        </w:rPr>
        <w:t> For example, does the CEO needs to know about a delivery hitch? Who needs to know about budget overages? </w:t>
      </w:r>
    </w:p>
    <w:p>
      <w:pPr>
        <w:spacing w:line="480" w:lineRule="auto"/>
        <w:ind w:firstLine="360"/>
        <w:rPr>
          <w:rFonts w:ascii="Times New Roman" w:hAnsi="Times New Roman" w:cs="Times New Roman"/>
          <w:sz w:val="24"/>
          <w:szCs w:val="24"/>
        </w:rPr>
      </w:pPr>
      <w:r>
        <w:rPr>
          <w:rFonts w:ascii="Times New Roman" w:hAnsi="Times New Roman" w:cs="Times New Roman"/>
          <w:sz w:val="24"/>
          <w:szCs w:val="24"/>
        </w:rPr>
        <w:t>As it relates to a lack of capital, this implementation plan is to establish capacities for the project to build its capital. The countryside is meant to spaces comprising natural, built, and socio-cultural resources different to urban.  In addition, identify the rural area as an unchanged and natural place that still remains with certain societal values, national identity, and heritage unfounded in urban settings and identifying factors contributing to tourists' retail development in heritage villages.</w:t>
      </w:r>
    </w:p>
    <w:p>
      <w:pPr>
        <w:spacing w:line="480" w:lineRule="auto"/>
        <w:ind w:firstLine="360"/>
        <w:rPr>
          <w:rFonts w:ascii="Times New Roman" w:hAnsi="Times New Roman" w:cs="Times New Roman"/>
          <w:sz w:val="24"/>
          <w:szCs w:val="24"/>
        </w:rPr>
      </w:pPr>
      <w:r>
        <w:rPr>
          <w:rFonts w:ascii="Times New Roman" w:hAnsi="Times New Roman" w:cs="Times New Roman"/>
          <w:sz w:val="24"/>
          <w:szCs w:val="24"/>
        </w:rPr>
        <w:t>According to Giampiccoli, A. (2015), the article notes the understanding of the origins of community-based tourism helps in mapping its possible trajectories. Past and current trends are important to unlock the possibilities in the future.  Understanding the causes of community-based tourism helps in mapping its potential directions. Past and current patterns are imperative to open the conceivable outcomes later on. </w:t>
      </w:r>
    </w:p>
    <w:p>
      <w:pPr>
        <w:spacing w:line="480" w:lineRule="auto"/>
        <w:ind w:firstLine="360"/>
        <w:rPr>
          <w:rFonts w:ascii="Times New Roman" w:hAnsi="Times New Roman" w:cs="Times New Roman"/>
          <w:sz w:val="24"/>
          <w:szCs w:val="24"/>
        </w:rPr>
      </w:pPr>
      <w:r>
        <w:rPr>
          <w:rFonts w:ascii="Times New Roman" w:hAnsi="Times New Roman" w:cs="Times New Roman"/>
          <w:sz w:val="24"/>
          <w:szCs w:val="24"/>
        </w:rPr>
        <w:t xml:space="preserve">Conferring to Giampiccoli, A., &amp; Saayman, M. (2016) articulates the World inequality is growing, and tourism contributes to it; an alternative option is, therefore, needed towards a more just and redistributive approach to this industry. This plan will provide an elective choice that is, in this manner, required towards an all the more just and redistributive way to deal with this industry.  </w:t>
      </w:r>
    </w:p>
    <w:p>
      <w:pPr>
        <w:spacing w:line="480" w:lineRule="auto"/>
        <w:ind w:firstLine="360"/>
        <w:rPr>
          <w:rFonts w:ascii="Times New Roman" w:hAnsi="Times New Roman" w:cs="Times New Roman"/>
          <w:sz w:val="24"/>
          <w:szCs w:val="24"/>
        </w:rPr>
      </w:pPr>
      <w:r>
        <w:rPr>
          <w:rFonts w:ascii="Times New Roman" w:hAnsi="Times New Roman" w:cs="Times New Roman"/>
          <w:sz w:val="24"/>
          <w:szCs w:val="24"/>
        </w:rPr>
        <w:t>According to (Bouchon, F., &amp; Rawat, K. (2016), the best practices were developed, which will increase innovation capability.  In order for villager's to have effective knowledge of financial management the key factors that measure what should be considered a successful Community-based tourism initiative to its customers; who its customers are; how it will earn money; and how that money will be managed, which exemplifies empowerment that may only come from the planning stages where funding is available. </w:t>
      </w:r>
    </w:p>
    <w:p>
      <w:pPr>
        <w:spacing w:line="480" w:lineRule="auto"/>
        <w:rPr>
          <w:rFonts w:ascii="Times New Roman" w:hAnsi="Times New Roman" w:cs="Times New Roman"/>
          <w:sz w:val="24"/>
          <w:szCs w:val="24"/>
        </w:rPr>
      </w:pPr>
      <w:r>
        <w:rPr>
          <w:rFonts w:ascii="Times New Roman" w:hAnsi="Times New Roman" w:cs="Times New Roman"/>
          <w:sz w:val="24"/>
          <w:szCs w:val="24"/>
        </w:rPr>
        <w:t> </w:t>
      </w:r>
    </w:p>
    <w:p>
      <w:pPr>
        <w:spacing w:line="480" w:lineRule="auto"/>
        <w:rPr>
          <w:rFonts w:ascii="Times New Roman" w:hAnsi="Times New Roman" w:cs="Times New Roman"/>
          <w:sz w:val="24"/>
          <w:szCs w:val="24"/>
        </w:rPr>
      </w:pPr>
      <w:r>
        <w:rPr>
          <w:rFonts w:ascii="Times New Roman" w:hAnsi="Times New Roman" w:cs="Times New Roman"/>
          <w:sz w:val="24"/>
          <w:szCs w:val="24"/>
        </w:rPr>
        <w:t> </w:t>
      </w:r>
    </w:p>
    <w:p>
      <w:pPr>
        <w:spacing w:line="480" w:lineRule="auto"/>
        <w:rPr>
          <w:rFonts w:ascii="Times New Roman" w:hAnsi="Times New Roman" w:cs="Times New Roman"/>
          <w:sz w:val="24"/>
          <w:szCs w:val="24"/>
        </w:rPr>
      </w:pPr>
      <w:r>
        <w:rPr>
          <w:rFonts w:ascii="Times New Roman" w:hAnsi="Times New Roman" w:cs="Times New Roman"/>
          <w:sz w:val="24"/>
          <w:szCs w:val="24"/>
        </w:rPr>
        <w:t> </w:t>
      </w:r>
    </w:p>
    <w:p>
      <w:pPr>
        <w:spacing w:line="480" w:lineRule="auto"/>
        <w:rPr>
          <w:rFonts w:ascii="Times New Roman" w:hAnsi="Times New Roman" w:cs="Times New Roman"/>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b/>
          <w:bCs/>
          <w:sz w:val="24"/>
          <w:szCs w:val="24"/>
        </w:rPr>
      </w:pPr>
    </w:p>
    <w:p>
      <w:pPr>
        <w:spacing w:line="480" w:lineRule="auto"/>
        <w:rPr>
          <w:rFonts w:ascii="Times New Roman" w:hAnsi="Times New Roman" w:cs="Times New Roman"/>
          <w:sz w:val="24"/>
          <w:szCs w:val="24"/>
        </w:rPr>
      </w:pPr>
      <w:r>
        <w:rPr>
          <w:rFonts w:ascii="Times New Roman" w:hAnsi="Times New Roman" w:cs="Times New Roman"/>
          <w:b/>
          <w:bCs/>
          <w:sz w:val="24"/>
          <w:szCs w:val="24"/>
        </w:rPr>
        <w:t>References</w:t>
      </w:r>
      <w:r>
        <w:rPr>
          <w:rFonts w:ascii="Times New Roman" w:hAnsi="Times New Roman" w:cs="Times New Roman"/>
          <w:sz w:val="24"/>
          <w:szCs w:val="24"/>
        </w:rPr>
        <w:t>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Barnes, D. F. (2019). </w:t>
      </w:r>
      <w:r>
        <w:rPr>
          <w:rFonts w:ascii="Times New Roman" w:hAnsi="Times New Roman" w:cs="Times New Roman"/>
          <w:i/>
          <w:iCs/>
          <w:sz w:val="24"/>
          <w:szCs w:val="24"/>
        </w:rPr>
        <w:t>Electric power for rural growth: how electricity affects rural life in developing countries</w:t>
      </w:r>
      <w:r>
        <w:rPr>
          <w:rFonts w:ascii="Times New Roman" w:hAnsi="Times New Roman" w:cs="Times New Roman"/>
          <w:sz w:val="24"/>
          <w:szCs w:val="24"/>
        </w:rPr>
        <w:t>. Routledge.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Bouchon, F., &amp; Rawat, K. (2016). Rural areas of ASEAN and Tourism Services, a Field for Innovative solutions. </w:t>
      </w:r>
      <w:r>
        <w:rPr>
          <w:rFonts w:ascii="Times New Roman" w:hAnsi="Times New Roman" w:cs="Times New Roman"/>
          <w:i/>
          <w:iCs/>
          <w:sz w:val="24"/>
          <w:szCs w:val="24"/>
        </w:rPr>
        <w:t>Procedia-Social and Behavioral Sciences</w:t>
      </w:r>
      <w:r>
        <w:rPr>
          <w:rFonts w:ascii="Times New Roman" w:hAnsi="Times New Roman" w:cs="Times New Roman"/>
          <w:sz w:val="24"/>
          <w:szCs w:val="24"/>
        </w:rPr>
        <w:t>, </w:t>
      </w:r>
      <w:r>
        <w:rPr>
          <w:rFonts w:ascii="Times New Roman" w:hAnsi="Times New Roman" w:cs="Times New Roman"/>
          <w:i/>
          <w:iCs/>
          <w:sz w:val="24"/>
          <w:szCs w:val="24"/>
        </w:rPr>
        <w:t>224</w:t>
      </w:r>
      <w:r>
        <w:rPr>
          <w:rFonts w:ascii="Times New Roman" w:hAnsi="Times New Roman" w:cs="Times New Roman"/>
          <w:sz w:val="24"/>
          <w:szCs w:val="24"/>
        </w:rPr>
        <w:t>, 44-51.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Dodds, R., Ali, A., &amp; Galaski, K. (2018). Mobilizing knowledge: Determining key elements for success and pitfalls in developing community-based tourism. </w:t>
      </w:r>
      <w:r>
        <w:rPr>
          <w:rFonts w:ascii="Times New Roman" w:hAnsi="Times New Roman" w:cs="Times New Roman"/>
          <w:i/>
          <w:iCs/>
          <w:sz w:val="24"/>
          <w:szCs w:val="24"/>
        </w:rPr>
        <w:t>Current Issues in Tourism</w:t>
      </w:r>
      <w:r>
        <w:rPr>
          <w:rFonts w:ascii="Times New Roman" w:hAnsi="Times New Roman" w:cs="Times New Roman"/>
          <w:sz w:val="24"/>
          <w:szCs w:val="24"/>
        </w:rPr>
        <w:t>, </w:t>
      </w:r>
      <w:r>
        <w:rPr>
          <w:rFonts w:ascii="Times New Roman" w:hAnsi="Times New Roman" w:cs="Times New Roman"/>
          <w:i/>
          <w:iCs/>
          <w:sz w:val="24"/>
          <w:szCs w:val="24"/>
        </w:rPr>
        <w:t>21</w:t>
      </w:r>
      <w:r>
        <w:rPr>
          <w:rFonts w:ascii="Times New Roman" w:hAnsi="Times New Roman" w:cs="Times New Roman"/>
          <w:sz w:val="24"/>
          <w:szCs w:val="24"/>
        </w:rPr>
        <w:t>(13), 1547-1568.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Giampiccoli, A. (2015). Community-based tourism: Origins and present trends. </w:t>
      </w:r>
      <w:r>
        <w:rPr>
          <w:rFonts w:ascii="Times New Roman" w:hAnsi="Times New Roman" w:cs="Times New Roman"/>
          <w:i/>
          <w:iCs/>
          <w:sz w:val="24"/>
          <w:szCs w:val="24"/>
        </w:rPr>
        <w:t>African Journal for Physical Health Education, Recreation and Dance</w:t>
      </w:r>
      <w:r>
        <w:rPr>
          <w:rFonts w:ascii="Times New Roman" w:hAnsi="Times New Roman" w:cs="Times New Roman"/>
          <w:sz w:val="24"/>
          <w:szCs w:val="24"/>
        </w:rPr>
        <w:t>, </w:t>
      </w:r>
      <w:r>
        <w:rPr>
          <w:rFonts w:ascii="Times New Roman" w:hAnsi="Times New Roman" w:cs="Times New Roman"/>
          <w:i/>
          <w:iCs/>
          <w:sz w:val="24"/>
          <w:szCs w:val="24"/>
        </w:rPr>
        <w:t>21</w:t>
      </w:r>
      <w:r>
        <w:rPr>
          <w:rFonts w:ascii="Times New Roman" w:hAnsi="Times New Roman" w:cs="Times New Roman"/>
          <w:sz w:val="24"/>
          <w:szCs w:val="24"/>
        </w:rPr>
        <w:t>(2), 675-687.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Giampiccoli, A., &amp; Saayman, M. (2016). Community-based tourism: From a local to a global push. </w:t>
      </w:r>
      <w:r>
        <w:rPr>
          <w:rFonts w:ascii="Times New Roman" w:hAnsi="Times New Roman" w:cs="Times New Roman"/>
          <w:i/>
          <w:iCs/>
          <w:sz w:val="24"/>
          <w:szCs w:val="24"/>
        </w:rPr>
        <w:t>Acta Commercii</w:t>
      </w:r>
      <w:r>
        <w:rPr>
          <w:rFonts w:ascii="Times New Roman" w:hAnsi="Times New Roman" w:cs="Times New Roman"/>
          <w:sz w:val="24"/>
          <w:szCs w:val="24"/>
        </w:rPr>
        <w:t>, </w:t>
      </w:r>
      <w:r>
        <w:rPr>
          <w:rFonts w:ascii="Times New Roman" w:hAnsi="Times New Roman" w:cs="Times New Roman"/>
          <w:i/>
          <w:iCs/>
          <w:sz w:val="24"/>
          <w:szCs w:val="24"/>
        </w:rPr>
        <w:t>16</w:t>
      </w:r>
      <w:r>
        <w:rPr>
          <w:rFonts w:ascii="Times New Roman" w:hAnsi="Times New Roman" w:cs="Times New Roman"/>
          <w:sz w:val="24"/>
          <w:szCs w:val="24"/>
        </w:rPr>
        <w:t>(1), 1-10.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Ivanova, M. (2015). COP21 proved the Power of Peer Pressure.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Kliem, R. L., &amp; Ludin, I. S. (2019). </w:t>
      </w:r>
      <w:r>
        <w:rPr>
          <w:rFonts w:ascii="Times New Roman" w:hAnsi="Times New Roman" w:cs="Times New Roman"/>
          <w:i/>
          <w:iCs/>
          <w:sz w:val="24"/>
          <w:szCs w:val="24"/>
        </w:rPr>
        <w:t>Reducing project risk</w:t>
      </w:r>
      <w:r>
        <w:rPr>
          <w:rFonts w:ascii="Times New Roman" w:hAnsi="Times New Roman" w:cs="Times New Roman"/>
          <w:sz w:val="24"/>
          <w:szCs w:val="24"/>
        </w:rPr>
        <w:t>. Routledge.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Lecoeuvre, L. &amp; Turner, J. R. (2014). Project Marketing By Three Organizations: Marketing By, For, And Of The Project. Paper presented at Project Management Institute Research and Education Conference, Phoenix, AZ. Newtown Square, PA: Project Management Institute.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Lenza, M., &amp; Slacalek, J. (2018). How does monetary policy affect income and wealth inequality? Evidence from quantitative easing in the euro area.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Moscardo, G., Murphy, L., Hughes, K., &amp; Benckendorff, P. (2019). 15 Shopping on the Edge: Identifying Factors Contributing to Tourist Retail Development in Heritage Villages. </w:t>
      </w:r>
      <w:r>
        <w:rPr>
          <w:rFonts w:ascii="Times New Roman" w:hAnsi="Times New Roman" w:cs="Times New Roman"/>
          <w:i/>
          <w:iCs/>
          <w:sz w:val="24"/>
          <w:szCs w:val="24"/>
        </w:rPr>
        <w:t>The Future Past of Tourism: Historical Perspectives and Future Evolutions</w:t>
      </w:r>
      <w:r>
        <w:rPr>
          <w:rFonts w:ascii="Times New Roman" w:hAnsi="Times New Roman" w:cs="Times New Roman"/>
          <w:sz w:val="24"/>
          <w:szCs w:val="24"/>
        </w:rPr>
        <w:t>, 31.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Reschovsky, A., &amp; Imazeki, J. (2001). Achieving educational adequacy through school finance reform. </w:t>
      </w:r>
      <w:r>
        <w:rPr>
          <w:rFonts w:ascii="Times New Roman" w:hAnsi="Times New Roman" w:cs="Times New Roman"/>
          <w:i/>
          <w:iCs/>
          <w:sz w:val="24"/>
          <w:szCs w:val="24"/>
        </w:rPr>
        <w:t>Journal of Education Finance</w:t>
      </w:r>
      <w:r>
        <w:rPr>
          <w:rFonts w:ascii="Times New Roman" w:hAnsi="Times New Roman" w:cs="Times New Roman"/>
          <w:sz w:val="24"/>
          <w:szCs w:val="24"/>
        </w:rPr>
        <w:t>, </w:t>
      </w:r>
      <w:r>
        <w:rPr>
          <w:rFonts w:ascii="Times New Roman" w:hAnsi="Times New Roman" w:cs="Times New Roman"/>
          <w:i/>
          <w:iCs/>
          <w:sz w:val="24"/>
          <w:szCs w:val="24"/>
        </w:rPr>
        <w:t>26</w:t>
      </w:r>
      <w:r>
        <w:rPr>
          <w:rFonts w:ascii="Times New Roman" w:hAnsi="Times New Roman" w:cs="Times New Roman"/>
          <w:sz w:val="24"/>
          <w:szCs w:val="24"/>
        </w:rPr>
        <w:t>(4), 373-396.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Taylor, C. (2018). </w:t>
      </w:r>
      <w:r>
        <w:rPr>
          <w:rFonts w:ascii="Times New Roman" w:hAnsi="Times New Roman" w:cs="Times New Roman"/>
          <w:i/>
          <w:iCs/>
          <w:sz w:val="24"/>
          <w:szCs w:val="24"/>
        </w:rPr>
        <w:t>Project Manager Strategies for Strengthening Communications within Project Teams</w:t>
      </w:r>
      <w:r>
        <w:rPr>
          <w:rFonts w:ascii="Times New Roman" w:hAnsi="Times New Roman" w:cs="Times New Roman"/>
          <w:sz w:val="24"/>
          <w:szCs w:val="24"/>
        </w:rPr>
        <w:t> (Doctoral dissertation, Walden University).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Tirado Ballesteros, J. G., &amp; Hernández Hernández, M. (2017). Assessing the impact of EU rural development programs on tourism. </w:t>
      </w:r>
      <w:r>
        <w:rPr>
          <w:rFonts w:ascii="Times New Roman" w:hAnsi="Times New Roman" w:cs="Times New Roman"/>
          <w:i/>
          <w:iCs/>
          <w:sz w:val="24"/>
          <w:szCs w:val="24"/>
        </w:rPr>
        <w:t>Tourism Planning &amp; Development</w:t>
      </w:r>
      <w:r>
        <w:rPr>
          <w:rFonts w:ascii="Times New Roman" w:hAnsi="Times New Roman" w:cs="Times New Roman"/>
          <w:sz w:val="24"/>
          <w:szCs w:val="24"/>
        </w:rPr>
        <w:t>, </w:t>
      </w:r>
      <w:r>
        <w:rPr>
          <w:rFonts w:ascii="Times New Roman" w:hAnsi="Times New Roman" w:cs="Times New Roman"/>
          <w:i/>
          <w:iCs/>
          <w:sz w:val="24"/>
          <w:szCs w:val="24"/>
        </w:rPr>
        <w:t>14</w:t>
      </w:r>
      <w:r>
        <w:rPr>
          <w:rFonts w:ascii="Times New Roman" w:hAnsi="Times New Roman" w:cs="Times New Roman"/>
          <w:sz w:val="24"/>
          <w:szCs w:val="24"/>
        </w:rPr>
        <w:t>(2), 149-166. </w:t>
      </w:r>
    </w:p>
    <w:p>
      <w:pPr>
        <w:spacing w:line="480" w:lineRule="auto"/>
        <w:ind w:left="720" w:hanging="720"/>
        <w:rPr>
          <w:rFonts w:ascii="Times New Roman" w:hAnsi="Times New Roman" w:cs="Times New Roman"/>
          <w:sz w:val="24"/>
          <w:szCs w:val="24"/>
        </w:rPr>
      </w:pPr>
      <w:r>
        <w:rPr>
          <w:rFonts w:ascii="Times New Roman" w:hAnsi="Times New Roman" w:cs="Times New Roman"/>
          <w:sz w:val="24"/>
          <w:szCs w:val="24"/>
        </w:rPr>
        <w:t>Zhang, X., Wu, Y., Skitmore, M., &amp; Jiang, S. (2015). Sustainable infrastructure projects in balancing urban-rural development: Towards the goal of efficiency and equity. </w:t>
      </w:r>
      <w:r>
        <w:rPr>
          <w:rFonts w:ascii="Times New Roman" w:hAnsi="Times New Roman" w:cs="Times New Roman"/>
          <w:i/>
          <w:iCs/>
          <w:sz w:val="24"/>
          <w:szCs w:val="24"/>
        </w:rPr>
        <w:t>Journal of Cleaner Production</w:t>
      </w:r>
      <w:r>
        <w:rPr>
          <w:rFonts w:ascii="Times New Roman" w:hAnsi="Times New Roman" w:cs="Times New Roman"/>
          <w:sz w:val="24"/>
          <w:szCs w:val="24"/>
        </w:rPr>
        <w:t>, </w:t>
      </w:r>
      <w:r>
        <w:rPr>
          <w:rFonts w:ascii="Times New Roman" w:hAnsi="Times New Roman" w:cs="Times New Roman"/>
          <w:i/>
          <w:iCs/>
          <w:sz w:val="24"/>
          <w:szCs w:val="24"/>
        </w:rPr>
        <w:t>107</w:t>
      </w:r>
      <w:r>
        <w:rPr>
          <w:rFonts w:ascii="Times New Roman" w:hAnsi="Times New Roman" w:cs="Times New Roman"/>
          <w:sz w:val="24"/>
          <w:szCs w:val="24"/>
        </w:rPr>
        <w:t>, 445-454. </w:t>
      </w:r>
    </w:p>
    <w:p>
      <w:pPr>
        <w:spacing w:line="480" w:lineRule="auto"/>
        <w:rPr>
          <w:rFonts w:ascii="Times New Roman" w:hAnsi="Times New Roman" w:cs="Times New Roman"/>
          <w:sz w:val="24"/>
          <w:szCs w:val="24"/>
        </w:rPr>
      </w:pPr>
      <w:r>
        <w:rPr>
          <w:rFonts w:ascii="Times New Roman" w:hAnsi="Times New Roman" w:cs="Times New Roman"/>
          <w:sz w:val="24"/>
          <w:szCs w:val="24"/>
        </w:rPr>
        <w:t> </w:t>
      </w:r>
    </w:p>
    <w:p>
      <w:pPr>
        <w:spacing w:line="480" w:lineRule="auto"/>
        <w:rPr>
          <w:rFonts w:ascii="Times New Roman" w:hAnsi="Times New Roman" w:cs="Times New Roman"/>
          <w:sz w:val="24"/>
          <w:szCs w:val="24"/>
        </w:rPr>
      </w:pPr>
    </w:p>
    <w:sectPr>
      <w:headerReference r:id="rId3" w:type="default"/>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7665208"/>
      <w:docPartObj>
        <w:docPartGallery w:val="AutoText"/>
      </w:docPartObj>
    </w:sdtPr>
    <w:sdtContent>
      <w:p>
        <w:pPr>
          <w:pStyle w:val="3"/>
          <w:jc w:val="right"/>
        </w:pPr>
        <w:r>
          <w:fldChar w:fldCharType="begin"/>
        </w:r>
        <w:r>
          <w:instrText xml:space="preserve"> PAGE   \* MERGEFORMAT </w:instrText>
        </w:r>
        <w:r>
          <w:fldChar w:fldCharType="separate"/>
        </w:r>
        <w:r>
          <w:t>14</w:t>
        </w:r>
        <w:r>
          <w:fldChar w:fldCharType="end"/>
        </w:r>
      </w:p>
    </w:sdtContent>
  </w:sdt>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82261"/>
    <w:multiLevelType w:val="multilevel"/>
    <w:tmpl w:val="5F98226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7E607899"/>
    <w:multiLevelType w:val="multilevel"/>
    <w:tmpl w:val="7E60789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7AD"/>
    <w:rsid w:val="00010F83"/>
    <w:rsid w:val="00053CDF"/>
    <w:rsid w:val="00131105"/>
    <w:rsid w:val="002203E9"/>
    <w:rsid w:val="00302724"/>
    <w:rsid w:val="003027EA"/>
    <w:rsid w:val="00370861"/>
    <w:rsid w:val="003A202F"/>
    <w:rsid w:val="00463250"/>
    <w:rsid w:val="00597A0B"/>
    <w:rsid w:val="005E1B06"/>
    <w:rsid w:val="00696E52"/>
    <w:rsid w:val="007050A8"/>
    <w:rsid w:val="00722589"/>
    <w:rsid w:val="0077482D"/>
    <w:rsid w:val="0087097C"/>
    <w:rsid w:val="009E00CD"/>
    <w:rsid w:val="00A604D9"/>
    <w:rsid w:val="00AE1D3C"/>
    <w:rsid w:val="00BE0A4A"/>
    <w:rsid w:val="00C82519"/>
    <w:rsid w:val="00CC17AD"/>
    <w:rsid w:val="00D05E91"/>
    <w:rsid w:val="00E93A1A"/>
    <w:rsid w:val="00F004C9"/>
    <w:rsid w:val="10942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680"/>
        <w:tab w:val="right" w:pos="9360"/>
      </w:tabs>
      <w:spacing w:after="0" w:line="240" w:lineRule="auto"/>
    </w:pPr>
  </w:style>
  <w:style w:type="paragraph" w:styleId="3">
    <w:name w:val="header"/>
    <w:basedOn w:val="1"/>
    <w:link w:val="6"/>
    <w:unhideWhenUsed/>
    <w:qFormat/>
    <w:uiPriority w:val="99"/>
    <w:pPr>
      <w:tabs>
        <w:tab w:val="center" w:pos="4680"/>
        <w:tab w:val="right" w:pos="9360"/>
      </w:tabs>
      <w:spacing w:after="0" w:line="240" w:lineRule="auto"/>
    </w:pPr>
  </w:style>
  <w:style w:type="character" w:customStyle="1" w:styleId="6">
    <w:name w:val="Header Char"/>
    <w:basedOn w:val="4"/>
    <w:link w:val="3"/>
    <w:qFormat/>
    <w:uiPriority w:val="99"/>
  </w:style>
  <w:style w:type="character" w:customStyle="1" w:styleId="7">
    <w:name w:val="Footer Char"/>
    <w:basedOn w:val="4"/>
    <w:link w:val="2"/>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DA091-87A2-4502-A5DB-8F7FA77E713F}">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15</Pages>
  <Words>3467</Words>
  <Characters>19766</Characters>
  <Lines>164</Lines>
  <Paragraphs>46</Paragraphs>
  <TotalTime>5</TotalTime>
  <ScaleCrop>false</ScaleCrop>
  <LinksUpToDate>false</LinksUpToDate>
  <CharactersWithSpaces>23187</CharactersWithSpaces>
  <Application>WPS Office_11.2.0.8684_F1E327BC-269C-435d-A152-05C5408002CA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2019-12-20T04:33:00Z</dcterms:created>
  <dc:creator>Moore-Morris, Alexandria L</dc:creator>
  <cp:lastModifiedBy>I Walters</cp:lastModifiedBy>
  <dcterms:modified xsi:type="dcterms:W3CDTF">2020-05-23T23:18:24Z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1033-11.2.0.8684</vt:lpwstr>
  </property>
</Properties>
</file>